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6D4D81" w14:paraId="346C86B7" w14:textId="77777777">
        <w:trPr>
          <w:jc w:val="center"/>
        </w:trPr>
        <w:tc>
          <w:tcPr>
            <w:tcW w:w="6768" w:type="dxa"/>
            <w:tcMar>
              <w:top w:w="0" w:type="dxa"/>
              <w:left w:w="0" w:type="dxa"/>
              <w:bottom w:w="0" w:type="dxa"/>
              <w:right w:w="0" w:type="dxa"/>
            </w:tcMar>
          </w:tcPr>
          <w:p w14:paraId="19FD584F" w14:textId="77777777" w:rsidR="006D4D81" w:rsidRDefault="001C028D">
            <w:r>
              <w:rPr>
                <w:noProof/>
              </w:rPr>
              <w:drawing>
                <wp:inline distT="0" distB="0" distL="0" distR="0" wp14:anchorId="54095872" wp14:editId="0592E5C2">
                  <wp:extent cx="1242000" cy="99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8"/>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273196A2" w14:textId="77777777" w:rsidR="006D4D81" w:rsidRDefault="001C028D">
            <w:pPr>
              <w:jc w:val="right"/>
            </w:pPr>
            <w:r>
              <w:rPr>
                <w:noProof/>
              </w:rPr>
              <w:drawing>
                <wp:inline distT="0" distB="0" distL="0" distR="0" wp14:anchorId="6F84FCDE" wp14:editId="5BE5D618">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s.png"/>
                          <pic:cNvPicPr/>
                        </pic:nvPicPr>
                        <pic:blipFill>
                          <a:blip r:embed="rId9"/>
                          <a:stretch>
                            <a:fillRect/>
                          </a:stretch>
                        </pic:blipFill>
                        <pic:spPr>
                          <a:xfrm>
                            <a:off x="0" y="0"/>
                            <a:ext cx="792000" cy="792000"/>
                          </a:xfrm>
                          <a:prstGeom prst="rect">
                            <a:avLst/>
                          </a:prstGeom>
                        </pic:spPr>
                      </pic:pic>
                    </a:graphicData>
                  </a:graphic>
                </wp:inline>
              </w:drawing>
            </w:r>
          </w:p>
        </w:tc>
      </w:tr>
    </w:tbl>
    <w:p w14:paraId="4278E75B" w14:textId="77777777" w:rsidR="006D4D81" w:rsidRDefault="006D4D81"/>
    <w:p w14:paraId="335075D6" w14:textId="77777777" w:rsidR="006D4D81" w:rsidRDefault="001C028D">
      <w:pPr>
        <w:spacing w:after="200"/>
      </w:pPr>
      <w:r>
        <w:rPr>
          <w:b/>
          <w:color w:val="1FA4E8"/>
          <w:sz w:val="20"/>
        </w:rPr>
        <w:t>BP-POL-005</w:t>
      </w:r>
    </w:p>
    <w:p w14:paraId="30C55C2C" w14:textId="77777777" w:rsidR="006D4D81" w:rsidRDefault="001C028D">
      <w:pPr>
        <w:pStyle w:val="Title"/>
      </w:pPr>
      <w:r>
        <w:t>Equality, Dignity at Work &amp; Anti-Harassment Policy</w:t>
      </w:r>
    </w:p>
    <w:p w14:paraId="1E6DDE20" w14:textId="77777777" w:rsidR="006D4D81" w:rsidRDefault="001C028D">
      <w:pPr>
        <w:pStyle w:val="Subtitle"/>
        <w:pBdr>
          <w:bottom w:val="single" w:sz="18" w:space="10" w:color="1FA4E8"/>
        </w:pBdr>
      </w:pPr>
      <w:r>
        <w:t>Fair opportunity, respectful conduct, safe reporting and impartial response</w:t>
      </w:r>
    </w:p>
    <w:p w14:paraId="77EF38CE" w14:textId="77777777" w:rsidR="006D4D81" w:rsidRDefault="006D4D81"/>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38"/>
      </w:tblGrid>
      <w:tr w:rsidR="006D4D81" w14:paraId="09B9A99C" w14:textId="77777777">
        <w:trPr>
          <w:jc w:val="center"/>
        </w:trPr>
        <w:tc>
          <w:tcPr>
            <w:tcW w:w="9638" w:type="dxa"/>
            <w:shd w:val="clear" w:color="auto" w:fill="EAF4FB"/>
            <w:tcMar>
              <w:top w:w="200" w:type="dxa"/>
              <w:left w:w="260" w:type="dxa"/>
              <w:bottom w:w="200" w:type="dxa"/>
              <w:right w:w="260" w:type="dxa"/>
            </w:tcMar>
          </w:tcPr>
          <w:p w14:paraId="2F63261B" w14:textId="77777777" w:rsidR="006D4D81" w:rsidRDefault="001C028D">
            <w:pPr>
              <w:pStyle w:val="Callout"/>
            </w:pPr>
            <w:r>
              <w:t xml:space="preserve">Blue Palm expects a workplace where decisions are fair, dignity is protected and nobody </w:t>
            </w:r>
            <w:proofErr w:type="gramStart"/>
            <w:r>
              <w:t>has to</w:t>
            </w:r>
            <w:proofErr w:type="gramEnd"/>
            <w:r>
              <w:t xml:space="preserve"> tolerate harassment, bullying or retaliation.</w:t>
            </w:r>
          </w:p>
        </w:tc>
      </w:tr>
    </w:tbl>
    <w:p w14:paraId="32AC8A4F" w14:textId="77777777" w:rsidR="006D4D81" w:rsidRDefault="006D4D81"/>
    <w:tbl>
      <w:tblPr>
        <w:tblW w:w="9599"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119"/>
        <w:gridCol w:w="6480"/>
      </w:tblGrid>
      <w:tr w:rsidR="006D4D81" w14:paraId="27C707C7" w14:textId="77777777" w:rsidTr="006D3BB6">
        <w:trPr>
          <w:jc w:val="center"/>
        </w:trPr>
        <w:tc>
          <w:tcPr>
            <w:tcW w:w="3119" w:type="dxa"/>
            <w:shd w:val="clear" w:color="auto" w:fill="17487E"/>
            <w:tcMar>
              <w:top w:w="100" w:type="dxa"/>
              <w:left w:w="120" w:type="dxa"/>
              <w:bottom w:w="100" w:type="dxa"/>
              <w:right w:w="120" w:type="dxa"/>
            </w:tcMar>
            <w:vAlign w:val="center"/>
          </w:tcPr>
          <w:p w14:paraId="2042BADD" w14:textId="77777777" w:rsidR="006D4D81" w:rsidRDefault="001C028D">
            <w:r>
              <w:rPr>
                <w:b/>
                <w:color w:val="FFFFFF"/>
                <w:sz w:val="16"/>
              </w:rPr>
              <w:t>VERSION</w:t>
            </w:r>
          </w:p>
        </w:tc>
        <w:tc>
          <w:tcPr>
            <w:tcW w:w="6480" w:type="dxa"/>
            <w:tcMar>
              <w:top w:w="100" w:type="dxa"/>
              <w:left w:w="120" w:type="dxa"/>
              <w:bottom w:w="100" w:type="dxa"/>
              <w:right w:w="120" w:type="dxa"/>
            </w:tcMar>
            <w:vAlign w:val="center"/>
          </w:tcPr>
          <w:p w14:paraId="3B0772AC" w14:textId="77777777" w:rsidR="006D4D81" w:rsidRDefault="001C028D">
            <w:r>
              <w:rPr>
                <w:sz w:val="18"/>
              </w:rPr>
              <w:t>1.0</w:t>
            </w:r>
          </w:p>
        </w:tc>
      </w:tr>
      <w:tr w:rsidR="006D4D81" w14:paraId="1367A055" w14:textId="77777777" w:rsidTr="006D3BB6">
        <w:trPr>
          <w:jc w:val="center"/>
        </w:trPr>
        <w:tc>
          <w:tcPr>
            <w:tcW w:w="3119" w:type="dxa"/>
            <w:shd w:val="clear" w:color="auto" w:fill="17487E"/>
            <w:tcMar>
              <w:top w:w="100" w:type="dxa"/>
              <w:left w:w="120" w:type="dxa"/>
              <w:bottom w:w="100" w:type="dxa"/>
              <w:right w:w="120" w:type="dxa"/>
            </w:tcMar>
            <w:vAlign w:val="center"/>
          </w:tcPr>
          <w:p w14:paraId="19822839" w14:textId="77777777" w:rsidR="006D4D81" w:rsidRDefault="001C028D">
            <w:r>
              <w:rPr>
                <w:b/>
                <w:color w:val="FFFFFF"/>
                <w:sz w:val="16"/>
              </w:rPr>
              <w:t>STATUS</w:t>
            </w:r>
          </w:p>
        </w:tc>
        <w:tc>
          <w:tcPr>
            <w:tcW w:w="6480" w:type="dxa"/>
            <w:tcMar>
              <w:top w:w="100" w:type="dxa"/>
              <w:left w:w="120" w:type="dxa"/>
              <w:bottom w:w="100" w:type="dxa"/>
              <w:right w:w="120" w:type="dxa"/>
            </w:tcMar>
            <w:vAlign w:val="center"/>
          </w:tcPr>
          <w:p w14:paraId="314DDEC3" w14:textId="77777777" w:rsidR="006D4D81" w:rsidRDefault="001C028D">
            <w:r>
              <w:rPr>
                <w:sz w:val="18"/>
              </w:rPr>
              <w:t>Final draft – formal approval required</w:t>
            </w:r>
          </w:p>
        </w:tc>
      </w:tr>
      <w:tr w:rsidR="006D4D81" w14:paraId="6F03F519" w14:textId="77777777" w:rsidTr="006D3BB6">
        <w:trPr>
          <w:jc w:val="center"/>
        </w:trPr>
        <w:tc>
          <w:tcPr>
            <w:tcW w:w="3119" w:type="dxa"/>
            <w:shd w:val="clear" w:color="auto" w:fill="17487E"/>
            <w:tcMar>
              <w:top w:w="100" w:type="dxa"/>
              <w:left w:w="120" w:type="dxa"/>
              <w:bottom w:w="100" w:type="dxa"/>
              <w:right w:w="120" w:type="dxa"/>
            </w:tcMar>
            <w:vAlign w:val="center"/>
          </w:tcPr>
          <w:p w14:paraId="097E86EB" w14:textId="77777777" w:rsidR="006D4D81" w:rsidRDefault="001C028D">
            <w:r>
              <w:rPr>
                <w:b/>
                <w:color w:val="FFFFFF"/>
                <w:sz w:val="16"/>
              </w:rPr>
              <w:t>POLICY OWNER</w:t>
            </w:r>
          </w:p>
        </w:tc>
        <w:tc>
          <w:tcPr>
            <w:tcW w:w="6480" w:type="dxa"/>
            <w:tcMar>
              <w:top w:w="100" w:type="dxa"/>
              <w:left w:w="120" w:type="dxa"/>
              <w:bottom w:w="100" w:type="dxa"/>
              <w:right w:w="120" w:type="dxa"/>
            </w:tcMar>
            <w:vAlign w:val="center"/>
          </w:tcPr>
          <w:p w14:paraId="560A9506" w14:textId="06049317" w:rsidR="006D4D81" w:rsidRDefault="001C028D">
            <w:r>
              <w:rPr>
                <w:sz w:val="18"/>
              </w:rPr>
              <w:t>Nominated Compliance Officer</w:t>
            </w:r>
            <w:r w:rsidR="006D3BB6">
              <w:rPr>
                <w:sz w:val="18"/>
              </w:rPr>
              <w:t xml:space="preserve"> – </w:t>
            </w:r>
            <w:r w:rsidR="009403D4">
              <w:rPr>
                <w:sz w:val="18"/>
              </w:rPr>
              <w:t xml:space="preserve">Mr. </w:t>
            </w:r>
            <w:r w:rsidR="009403D4" w:rsidRPr="00A65CC6">
              <w:rPr>
                <w:sz w:val="18"/>
              </w:rPr>
              <w:t xml:space="preserve">Hiua Schuani  </w:t>
            </w:r>
          </w:p>
        </w:tc>
      </w:tr>
      <w:tr w:rsidR="006D4D81" w14:paraId="30153EC8" w14:textId="77777777" w:rsidTr="006D3BB6">
        <w:trPr>
          <w:jc w:val="center"/>
        </w:trPr>
        <w:tc>
          <w:tcPr>
            <w:tcW w:w="3119" w:type="dxa"/>
            <w:shd w:val="clear" w:color="auto" w:fill="17487E"/>
            <w:tcMar>
              <w:top w:w="100" w:type="dxa"/>
              <w:left w:w="120" w:type="dxa"/>
              <w:bottom w:w="100" w:type="dxa"/>
              <w:right w:w="120" w:type="dxa"/>
            </w:tcMar>
            <w:vAlign w:val="center"/>
          </w:tcPr>
          <w:p w14:paraId="05DEABD5" w14:textId="77777777" w:rsidR="006D4D81" w:rsidRDefault="001C028D">
            <w:r>
              <w:rPr>
                <w:b/>
                <w:color w:val="FFFFFF"/>
                <w:sz w:val="16"/>
              </w:rPr>
              <w:t>APPROVAL AUTHORITY</w:t>
            </w:r>
          </w:p>
        </w:tc>
        <w:tc>
          <w:tcPr>
            <w:tcW w:w="6480" w:type="dxa"/>
            <w:tcMar>
              <w:top w:w="100" w:type="dxa"/>
              <w:left w:w="120" w:type="dxa"/>
              <w:bottom w:w="100" w:type="dxa"/>
              <w:right w:w="120" w:type="dxa"/>
            </w:tcMar>
            <w:vAlign w:val="center"/>
          </w:tcPr>
          <w:p w14:paraId="4A72C5A6" w14:textId="68711844" w:rsidR="006D4D81" w:rsidRDefault="006D3BB6">
            <w:r>
              <w:rPr>
                <w:sz w:val="18"/>
              </w:rPr>
              <w:t xml:space="preserve">CEO – </w:t>
            </w:r>
            <w:r w:rsidR="009403D4">
              <w:rPr>
                <w:sz w:val="18"/>
              </w:rPr>
              <w:t xml:space="preserve">Mr. </w:t>
            </w:r>
            <w:r w:rsidR="009403D4" w:rsidRPr="00A65CC6">
              <w:rPr>
                <w:sz w:val="18"/>
              </w:rPr>
              <w:t xml:space="preserve">Hiua Schuani  </w:t>
            </w:r>
          </w:p>
        </w:tc>
      </w:tr>
      <w:tr w:rsidR="006D4D81" w14:paraId="749BE9DD" w14:textId="77777777" w:rsidTr="006D3BB6">
        <w:trPr>
          <w:jc w:val="center"/>
        </w:trPr>
        <w:tc>
          <w:tcPr>
            <w:tcW w:w="3119" w:type="dxa"/>
            <w:shd w:val="clear" w:color="auto" w:fill="17487E"/>
            <w:tcMar>
              <w:top w:w="100" w:type="dxa"/>
              <w:left w:w="120" w:type="dxa"/>
              <w:bottom w:w="100" w:type="dxa"/>
              <w:right w:w="120" w:type="dxa"/>
            </w:tcMar>
            <w:vAlign w:val="center"/>
          </w:tcPr>
          <w:p w14:paraId="3A165174" w14:textId="77777777" w:rsidR="006D4D81" w:rsidRDefault="001C028D">
            <w:r>
              <w:rPr>
                <w:b/>
                <w:color w:val="FFFFFF"/>
                <w:sz w:val="16"/>
              </w:rPr>
              <w:t>APPLIES TO</w:t>
            </w:r>
          </w:p>
        </w:tc>
        <w:tc>
          <w:tcPr>
            <w:tcW w:w="6480" w:type="dxa"/>
            <w:tcMar>
              <w:top w:w="100" w:type="dxa"/>
              <w:left w:w="120" w:type="dxa"/>
              <w:bottom w:w="100" w:type="dxa"/>
              <w:right w:w="120" w:type="dxa"/>
            </w:tcMar>
            <w:vAlign w:val="center"/>
          </w:tcPr>
          <w:p w14:paraId="053F9DF8" w14:textId="77777777" w:rsidR="006D4D81" w:rsidRDefault="001C028D">
            <w:r>
              <w:rPr>
                <w:sz w:val="18"/>
              </w:rPr>
              <w:t>Blue Palm personnel and relevant third parties in Federal Iraq, the Kurdistan Region and the UAE/Dubai</w:t>
            </w:r>
          </w:p>
        </w:tc>
      </w:tr>
    </w:tbl>
    <w:p w14:paraId="1C67BB06" w14:textId="77777777" w:rsidR="006D4D81" w:rsidRDefault="006D4D81"/>
    <w:p w14:paraId="527E92D8" w14:textId="54EDF8DB" w:rsidR="006D4D81" w:rsidRDefault="001C028D">
      <w:pPr>
        <w:pStyle w:val="SmallNote"/>
        <w:jc w:val="center"/>
      </w:pPr>
      <w:r>
        <w:t xml:space="preserve">BLUE PALM FOOD FZ </w:t>
      </w:r>
      <w:proofErr w:type="gramStart"/>
      <w:r>
        <w:t>LLC  •</w:t>
      </w:r>
      <w:proofErr w:type="gramEnd"/>
      <w:r>
        <w:t xml:space="preserve">  Version </w:t>
      </w:r>
      <w:proofErr w:type="gramStart"/>
      <w:r>
        <w:t>1.0  •</w:t>
      </w:r>
      <w:proofErr w:type="gramEnd"/>
      <w:r>
        <w:t xml:space="preserve">  </w:t>
      </w:r>
      <w:r w:rsidR="006D3BB6">
        <w:t>2026</w:t>
      </w:r>
    </w:p>
    <w:p w14:paraId="5CD4551D" w14:textId="77777777" w:rsidR="006D4D81" w:rsidRDefault="001C028D">
      <w:r>
        <w:br w:type="page"/>
      </w:r>
    </w:p>
    <w:p w14:paraId="4974A337" w14:textId="77777777" w:rsidR="006D3BB6" w:rsidRPr="006D3BB6" w:rsidRDefault="006D3BB6" w:rsidP="006D3BB6">
      <w:pPr>
        <w:rPr>
          <w:sz w:val="4"/>
          <w:szCs w:val="4"/>
        </w:rPr>
      </w:pPr>
    </w:p>
    <w:p w14:paraId="169B1917" w14:textId="64847B22" w:rsidR="006D4D81" w:rsidRDefault="001C028D">
      <w:pPr>
        <w:pStyle w:val="Heading1"/>
      </w:pPr>
      <w:r>
        <w:t>1. Purpose and scope</w:t>
      </w:r>
    </w:p>
    <w:p w14:paraId="571E38F5" w14:textId="77777777" w:rsidR="006D4D81" w:rsidRDefault="001C028D">
      <w:r>
        <w:t>Blue Palm is committed to equal opportunity, dignity and a workplace free from harassment. This policy applies to recruitment, pay, allocation of work, training, promotion, performance, discipline, termination and every work-related setting, including customer or supplier sites, accommodation provided for work, social events, travel, messaging and online communication.</w:t>
      </w:r>
    </w:p>
    <w:p w14:paraId="3D7BF249" w14:textId="77777777" w:rsidR="006D4D81" w:rsidRDefault="001C028D">
      <w:r>
        <w:t>It applies to employees, applicants, temporary workers, contractors, visitors and third parties interacting with Blue Palm personnel.</w:t>
      </w:r>
    </w:p>
    <w:p w14:paraId="570AA7D8" w14:textId="77777777" w:rsidR="006D4D81" w:rsidRDefault="001C028D">
      <w:pPr>
        <w:pStyle w:val="Heading1"/>
      </w:pPr>
      <w:r>
        <w:t>2. Equality and fair treatment</w:t>
      </w:r>
    </w:p>
    <w:p w14:paraId="4ED5F4B1" w14:textId="77777777" w:rsidR="006D4D81" w:rsidRDefault="001C028D">
      <w:r>
        <w:t>Blue Palm will not discriminate directly or indirectly because of sex, pregnancy or maternity, race, colour, nationality, national or social origin, ethnicity, religion or sect, age, disability or health status, marital or family status, trade-union membership or activity where lawful, or any other personal characteristic unrelated to the genuine requirements of the role.</w:t>
      </w:r>
    </w:p>
    <w:p w14:paraId="0119015F" w14:textId="77777777" w:rsidR="006D4D81" w:rsidRDefault="001C028D">
      <w:pPr>
        <w:pStyle w:val="ListBullet"/>
      </w:pPr>
      <w:r>
        <w:t>Use clear role criteria and, where practicable, more than one reviewer for hiring and promotion.</w:t>
      </w:r>
    </w:p>
    <w:p w14:paraId="37564F89" w14:textId="77777777" w:rsidR="006D4D81" w:rsidRDefault="001C028D">
      <w:pPr>
        <w:pStyle w:val="ListBullet"/>
      </w:pPr>
      <w:r>
        <w:t>Provide equal pay for the same work or work of equal value, subject to lawful differences supported by objective evidence.</w:t>
      </w:r>
    </w:p>
    <w:p w14:paraId="05361331" w14:textId="77777777" w:rsidR="006D4D81" w:rsidRDefault="001C028D">
      <w:pPr>
        <w:pStyle w:val="ListBullet"/>
      </w:pPr>
      <w:r>
        <w:t>Consider reasonable, lawful adjustments to enable a person with a disability or health need to work safely and effectively.</w:t>
      </w:r>
    </w:p>
    <w:p w14:paraId="068AE445" w14:textId="77777777" w:rsidR="006D4D81" w:rsidRDefault="001C028D">
      <w:pPr>
        <w:pStyle w:val="ListBullet"/>
      </w:pPr>
      <w:r>
        <w:t>Do not retaliate against a person for requesting an adjustment, family-related right, lawful leave, fair pay, equal treatment or participation in an investigation.</w:t>
      </w:r>
    </w:p>
    <w:p w14:paraId="1963D7A7" w14:textId="77777777" w:rsidR="006D4D81" w:rsidRDefault="001C028D">
      <w:pPr>
        <w:pStyle w:val="ListBullet"/>
      </w:pPr>
      <w:r>
        <w:t>Monitor patterns in recruitment, pay, training, promotion, discipline and exit proportionately to workforce size and lawful data rules.</w:t>
      </w:r>
    </w:p>
    <w:p w14:paraId="2654D811" w14:textId="77777777" w:rsidR="006D4D81" w:rsidRDefault="001C028D">
      <w:pPr>
        <w:pStyle w:val="Heading1"/>
      </w:pPr>
      <w:r>
        <w:t>3. Prohibited conduct</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520"/>
        <w:gridCol w:w="7056"/>
      </w:tblGrid>
      <w:tr w:rsidR="006D4D81" w14:paraId="4679853B" w14:textId="77777777">
        <w:trPr>
          <w:tblHeader/>
          <w:jc w:val="center"/>
        </w:trPr>
        <w:tc>
          <w:tcPr>
            <w:tcW w:w="2520" w:type="dxa"/>
            <w:shd w:val="clear" w:color="auto" w:fill="17487E"/>
            <w:tcMar>
              <w:top w:w="100" w:type="dxa"/>
              <w:left w:w="120" w:type="dxa"/>
              <w:bottom w:w="100" w:type="dxa"/>
              <w:right w:w="120" w:type="dxa"/>
            </w:tcMar>
          </w:tcPr>
          <w:p w14:paraId="1FF1D912" w14:textId="77777777" w:rsidR="006D4D81" w:rsidRDefault="001C028D">
            <w:r>
              <w:rPr>
                <w:b/>
                <w:color w:val="FFFFFF"/>
                <w:sz w:val="17"/>
              </w:rPr>
              <w:t>Conduct</w:t>
            </w:r>
          </w:p>
        </w:tc>
        <w:tc>
          <w:tcPr>
            <w:tcW w:w="7056" w:type="dxa"/>
            <w:shd w:val="clear" w:color="auto" w:fill="17487E"/>
            <w:tcMar>
              <w:top w:w="100" w:type="dxa"/>
              <w:left w:w="120" w:type="dxa"/>
              <w:bottom w:w="100" w:type="dxa"/>
              <w:right w:w="120" w:type="dxa"/>
            </w:tcMar>
          </w:tcPr>
          <w:p w14:paraId="1C2159AA" w14:textId="77777777" w:rsidR="006D4D81" w:rsidRDefault="001C028D">
            <w:r>
              <w:rPr>
                <w:b/>
                <w:color w:val="FFFFFF"/>
                <w:sz w:val="17"/>
              </w:rPr>
              <w:t>Meaning and examples</w:t>
            </w:r>
          </w:p>
        </w:tc>
      </w:tr>
      <w:tr w:rsidR="006D4D81" w14:paraId="4FAC2EE2" w14:textId="77777777">
        <w:trPr>
          <w:cantSplit/>
          <w:jc w:val="center"/>
        </w:trPr>
        <w:tc>
          <w:tcPr>
            <w:tcW w:w="2520" w:type="dxa"/>
            <w:tcMar>
              <w:top w:w="100" w:type="dxa"/>
              <w:left w:w="120" w:type="dxa"/>
              <w:bottom w:w="100" w:type="dxa"/>
              <w:right w:w="120" w:type="dxa"/>
            </w:tcMar>
          </w:tcPr>
          <w:p w14:paraId="3EF9044C" w14:textId="77777777" w:rsidR="006D4D81" w:rsidRDefault="001C028D">
            <w:pPr>
              <w:spacing w:after="40"/>
            </w:pPr>
            <w:r>
              <w:rPr>
                <w:sz w:val="18"/>
              </w:rPr>
              <w:t>Harassment</w:t>
            </w:r>
          </w:p>
        </w:tc>
        <w:tc>
          <w:tcPr>
            <w:tcW w:w="7056" w:type="dxa"/>
            <w:tcMar>
              <w:top w:w="100" w:type="dxa"/>
              <w:left w:w="120" w:type="dxa"/>
              <w:bottom w:w="100" w:type="dxa"/>
              <w:right w:w="120" w:type="dxa"/>
            </w:tcMar>
          </w:tcPr>
          <w:p w14:paraId="7226A59B" w14:textId="77777777" w:rsidR="006D4D81" w:rsidRDefault="001C028D">
            <w:pPr>
              <w:spacing w:after="40"/>
            </w:pPr>
            <w:r>
              <w:rPr>
                <w:sz w:val="18"/>
              </w:rPr>
              <w:t>Unwanted conduct that violates dignity or creates an intimidating, hostile, degrading, humiliating or offensive environment. A pattern is not always required.</w:t>
            </w:r>
          </w:p>
        </w:tc>
      </w:tr>
      <w:tr w:rsidR="006D4D81" w14:paraId="7BEB8648" w14:textId="77777777">
        <w:trPr>
          <w:cantSplit/>
          <w:jc w:val="center"/>
        </w:trPr>
        <w:tc>
          <w:tcPr>
            <w:tcW w:w="2520" w:type="dxa"/>
            <w:shd w:val="clear" w:color="auto" w:fill="F7FAFC"/>
            <w:tcMar>
              <w:top w:w="100" w:type="dxa"/>
              <w:left w:w="120" w:type="dxa"/>
              <w:bottom w:w="100" w:type="dxa"/>
              <w:right w:w="120" w:type="dxa"/>
            </w:tcMar>
          </w:tcPr>
          <w:p w14:paraId="1B8F6C72" w14:textId="77777777" w:rsidR="006D4D81" w:rsidRDefault="001C028D">
            <w:pPr>
              <w:spacing w:after="40"/>
            </w:pPr>
            <w:r>
              <w:rPr>
                <w:sz w:val="18"/>
              </w:rPr>
              <w:t>Sexual harassment</w:t>
            </w:r>
          </w:p>
        </w:tc>
        <w:tc>
          <w:tcPr>
            <w:tcW w:w="7056" w:type="dxa"/>
            <w:shd w:val="clear" w:color="auto" w:fill="F7FAFC"/>
            <w:tcMar>
              <w:top w:w="100" w:type="dxa"/>
              <w:left w:w="120" w:type="dxa"/>
              <w:bottom w:w="100" w:type="dxa"/>
              <w:right w:w="120" w:type="dxa"/>
            </w:tcMar>
          </w:tcPr>
          <w:p w14:paraId="68400ACF" w14:textId="77777777" w:rsidR="006D4D81" w:rsidRDefault="001C028D">
            <w:pPr>
              <w:spacing w:after="40"/>
            </w:pPr>
            <w:r>
              <w:rPr>
                <w:sz w:val="18"/>
              </w:rPr>
              <w:t>Unwanted sexual conduct, requests, messages, images, comments, touching, invitations, pressure or promises/threats linked to work.</w:t>
            </w:r>
          </w:p>
        </w:tc>
      </w:tr>
      <w:tr w:rsidR="006D4D81" w14:paraId="78B27EFC" w14:textId="77777777">
        <w:trPr>
          <w:cantSplit/>
          <w:jc w:val="center"/>
        </w:trPr>
        <w:tc>
          <w:tcPr>
            <w:tcW w:w="2520" w:type="dxa"/>
            <w:tcMar>
              <w:top w:w="100" w:type="dxa"/>
              <w:left w:w="120" w:type="dxa"/>
              <w:bottom w:w="100" w:type="dxa"/>
              <w:right w:w="120" w:type="dxa"/>
            </w:tcMar>
          </w:tcPr>
          <w:p w14:paraId="158B6541" w14:textId="77777777" w:rsidR="006D4D81" w:rsidRDefault="001C028D">
            <w:pPr>
              <w:spacing w:after="40"/>
            </w:pPr>
            <w:r>
              <w:rPr>
                <w:sz w:val="18"/>
              </w:rPr>
              <w:t>Bullying</w:t>
            </w:r>
          </w:p>
        </w:tc>
        <w:tc>
          <w:tcPr>
            <w:tcW w:w="7056" w:type="dxa"/>
            <w:tcMar>
              <w:top w:w="100" w:type="dxa"/>
              <w:left w:w="120" w:type="dxa"/>
              <w:bottom w:w="100" w:type="dxa"/>
              <w:right w:w="120" w:type="dxa"/>
            </w:tcMar>
          </w:tcPr>
          <w:p w14:paraId="1FB83413" w14:textId="77777777" w:rsidR="006D4D81" w:rsidRDefault="001C028D">
            <w:pPr>
              <w:spacing w:after="40"/>
            </w:pPr>
            <w:r>
              <w:rPr>
                <w:sz w:val="18"/>
              </w:rPr>
              <w:t>Repeated or serious misuse of power, threats, shouting, ridicule, isolation, impossible demands, sabotage or deliberate humiliation. Firm, fair management is not bullying.</w:t>
            </w:r>
          </w:p>
        </w:tc>
      </w:tr>
      <w:tr w:rsidR="006D4D81" w14:paraId="488C2CFB" w14:textId="77777777">
        <w:trPr>
          <w:cantSplit/>
          <w:jc w:val="center"/>
        </w:trPr>
        <w:tc>
          <w:tcPr>
            <w:tcW w:w="2520" w:type="dxa"/>
            <w:shd w:val="clear" w:color="auto" w:fill="F7FAFC"/>
            <w:tcMar>
              <w:top w:w="100" w:type="dxa"/>
              <w:left w:w="120" w:type="dxa"/>
              <w:bottom w:w="100" w:type="dxa"/>
              <w:right w:w="120" w:type="dxa"/>
            </w:tcMar>
          </w:tcPr>
          <w:p w14:paraId="72BE91B0" w14:textId="77777777" w:rsidR="006D4D81" w:rsidRDefault="001C028D">
            <w:pPr>
              <w:spacing w:after="40"/>
            </w:pPr>
            <w:r>
              <w:rPr>
                <w:sz w:val="18"/>
              </w:rPr>
              <w:t>Violence or abuse</w:t>
            </w:r>
          </w:p>
        </w:tc>
        <w:tc>
          <w:tcPr>
            <w:tcW w:w="7056" w:type="dxa"/>
            <w:shd w:val="clear" w:color="auto" w:fill="F7FAFC"/>
            <w:tcMar>
              <w:top w:w="100" w:type="dxa"/>
              <w:left w:w="120" w:type="dxa"/>
              <w:bottom w:w="100" w:type="dxa"/>
              <w:right w:w="120" w:type="dxa"/>
            </w:tcMar>
          </w:tcPr>
          <w:p w14:paraId="13E80ECB" w14:textId="77777777" w:rsidR="006D4D81" w:rsidRDefault="001C028D">
            <w:pPr>
              <w:spacing w:after="40"/>
            </w:pPr>
            <w:r>
              <w:rPr>
                <w:sz w:val="18"/>
              </w:rPr>
              <w:t>Physical assault, threat, stalking, intimidation, verbal or psychological violence, including conduct linked to work travel or accommodation.</w:t>
            </w:r>
          </w:p>
        </w:tc>
      </w:tr>
      <w:tr w:rsidR="006D4D81" w14:paraId="69AF5768" w14:textId="77777777">
        <w:trPr>
          <w:cantSplit/>
          <w:jc w:val="center"/>
        </w:trPr>
        <w:tc>
          <w:tcPr>
            <w:tcW w:w="2520" w:type="dxa"/>
            <w:tcMar>
              <w:top w:w="100" w:type="dxa"/>
              <w:left w:w="120" w:type="dxa"/>
              <w:bottom w:w="100" w:type="dxa"/>
              <w:right w:w="120" w:type="dxa"/>
            </w:tcMar>
          </w:tcPr>
          <w:p w14:paraId="44A66B9B" w14:textId="77777777" w:rsidR="006D4D81" w:rsidRDefault="001C028D">
            <w:pPr>
              <w:spacing w:after="40"/>
            </w:pPr>
            <w:r>
              <w:rPr>
                <w:sz w:val="18"/>
              </w:rPr>
              <w:t>Retaliation</w:t>
            </w:r>
          </w:p>
        </w:tc>
        <w:tc>
          <w:tcPr>
            <w:tcW w:w="7056" w:type="dxa"/>
            <w:tcMar>
              <w:top w:w="100" w:type="dxa"/>
              <w:left w:w="120" w:type="dxa"/>
              <w:bottom w:w="100" w:type="dxa"/>
              <w:right w:w="120" w:type="dxa"/>
            </w:tcMar>
          </w:tcPr>
          <w:p w14:paraId="3F7AEBA8" w14:textId="77777777" w:rsidR="006D4D81" w:rsidRDefault="001C028D">
            <w:pPr>
              <w:spacing w:after="40"/>
            </w:pPr>
            <w:r>
              <w:rPr>
                <w:sz w:val="18"/>
              </w:rPr>
              <w:t>Any detriment because a person raised, supported or was believed to have raised a concern, or refused discriminatory or harassing conduct.</w:t>
            </w:r>
          </w:p>
        </w:tc>
      </w:tr>
      <w:tr w:rsidR="006D4D81" w14:paraId="5C74F9D2" w14:textId="77777777">
        <w:trPr>
          <w:cantSplit/>
          <w:jc w:val="center"/>
        </w:trPr>
        <w:tc>
          <w:tcPr>
            <w:tcW w:w="2520" w:type="dxa"/>
            <w:shd w:val="clear" w:color="auto" w:fill="F7FAFC"/>
            <w:tcMar>
              <w:top w:w="100" w:type="dxa"/>
              <w:left w:w="120" w:type="dxa"/>
              <w:bottom w:w="100" w:type="dxa"/>
              <w:right w:w="120" w:type="dxa"/>
            </w:tcMar>
          </w:tcPr>
          <w:p w14:paraId="06B926A6" w14:textId="77777777" w:rsidR="006D4D81" w:rsidRDefault="001C028D">
            <w:pPr>
              <w:spacing w:after="40"/>
            </w:pPr>
            <w:r>
              <w:rPr>
                <w:sz w:val="18"/>
              </w:rPr>
              <w:t>Third-party harassment</w:t>
            </w:r>
          </w:p>
        </w:tc>
        <w:tc>
          <w:tcPr>
            <w:tcW w:w="7056" w:type="dxa"/>
            <w:shd w:val="clear" w:color="auto" w:fill="F7FAFC"/>
            <w:tcMar>
              <w:top w:w="100" w:type="dxa"/>
              <w:left w:w="120" w:type="dxa"/>
              <w:bottom w:w="100" w:type="dxa"/>
              <w:right w:w="120" w:type="dxa"/>
            </w:tcMar>
          </w:tcPr>
          <w:p w14:paraId="080C5712" w14:textId="77777777" w:rsidR="006D4D81" w:rsidRDefault="001C028D">
            <w:pPr>
              <w:spacing w:after="40"/>
            </w:pPr>
            <w:r>
              <w:rPr>
                <w:sz w:val="18"/>
              </w:rPr>
              <w:t>Prohibited conduct by a customer, supplier, driver, agent, visitor or other non-employee. Blue Palm will take reasonable protective action.</w:t>
            </w:r>
          </w:p>
        </w:tc>
      </w:tr>
    </w:tbl>
    <w:p w14:paraId="0EA0D48B" w14:textId="77777777" w:rsidR="006D4D81" w:rsidRDefault="001C028D">
      <w:r w:rsidRPr="002A5360">
        <w:rPr>
          <w:b/>
          <w:bCs/>
          <w:i/>
          <w:iCs/>
        </w:rPr>
        <w:t>Intent is relevant but not decisive:</w:t>
      </w:r>
      <w:r>
        <w:t xml:space="preserve"> a person may breach this policy even if they meant to joke or did not intend harm. Context, impact, frequency, power imbalance and reasonable perception will be considered.</w:t>
      </w:r>
    </w:p>
    <w:p w14:paraId="4B069783" w14:textId="77777777" w:rsidR="006D4D81" w:rsidRDefault="001C028D">
      <w:pPr>
        <w:pStyle w:val="Heading1"/>
      </w:pPr>
      <w:r>
        <w:lastRenderedPageBreak/>
        <w:t>4. Reporting options</w:t>
      </w:r>
    </w:p>
    <w:p w14:paraId="56EF4D36" w14:textId="77777777" w:rsidR="006D4D81" w:rsidRDefault="001C028D">
      <w:pPr>
        <w:pStyle w:val="ListBullet"/>
      </w:pPr>
      <w:r>
        <w:t>If safe and desired, tell the person the conduct is unwelcome or ask a manager to do so. This is optional.</w:t>
      </w:r>
    </w:p>
    <w:p w14:paraId="3571FB8A" w14:textId="77777777" w:rsidR="006D4D81" w:rsidRDefault="001C028D">
      <w:pPr>
        <w:pStyle w:val="ListBullet"/>
      </w:pPr>
      <w:r>
        <w:t>Report to a manager, the Nominated Compliance Officer or the alternative channel in BP-POL-003. Bypass anyone involved or conflicted.</w:t>
      </w:r>
    </w:p>
    <w:p w14:paraId="70CBBEB0" w14:textId="77777777" w:rsidR="006D4D81" w:rsidRDefault="001C028D">
      <w:pPr>
        <w:pStyle w:val="ListBullet"/>
      </w:pPr>
      <w:r>
        <w:t xml:space="preserve">Ask for immediate protective measures if there is </w:t>
      </w:r>
      <w:proofErr w:type="gramStart"/>
      <w:r>
        <w:t>a safety</w:t>
      </w:r>
      <w:proofErr w:type="gramEnd"/>
      <w:r>
        <w:t>, retaliation, reporting-line or accommodation concern.</w:t>
      </w:r>
    </w:p>
    <w:p w14:paraId="535F52CF" w14:textId="77777777" w:rsidR="006D4D81" w:rsidRDefault="001C028D">
      <w:pPr>
        <w:pStyle w:val="ListBullet"/>
      </w:pPr>
      <w:r>
        <w:t>Use a competent external authority or adviser where permitted. Blue Palm does not require internal reporting before lawful external action.</w:t>
      </w:r>
    </w:p>
    <w:p w14:paraId="0AF8A632" w14:textId="77777777" w:rsidR="006D4D81" w:rsidRDefault="001C028D">
      <w:pPr>
        <w:pStyle w:val="Heading1"/>
      </w:pPr>
      <w:r>
        <w:t>5. Assessment and investigation</w:t>
      </w:r>
    </w:p>
    <w:p w14:paraId="000C7B39" w14:textId="77777777" w:rsidR="006D4D81" w:rsidRDefault="001C028D">
      <w:pPr>
        <w:pStyle w:val="ListNumber"/>
      </w:pPr>
      <w:r>
        <w:t>Listen respectfully, record the concern in the reporter’s own terms, assess immediate safety and explain confidentiality limits.</w:t>
      </w:r>
    </w:p>
    <w:p w14:paraId="79DFEFE1" w14:textId="77777777" w:rsidR="006D4D81" w:rsidRDefault="001C028D">
      <w:pPr>
        <w:pStyle w:val="ListNumber"/>
      </w:pPr>
      <w:r>
        <w:t>Appoint an impartial investigator with no conflict; use an external investigator for a senior, sensitive or conflicted case where appropriate.</w:t>
      </w:r>
    </w:p>
    <w:p w14:paraId="1F027118" w14:textId="77777777" w:rsidR="006D4D81" w:rsidRDefault="001C028D">
      <w:pPr>
        <w:pStyle w:val="ListNumber"/>
      </w:pPr>
      <w:r>
        <w:t>Set proportionate interim measures—such as reporting-line, schedule, location or contact changes—without penalising the person who raised the concern.</w:t>
      </w:r>
    </w:p>
    <w:p w14:paraId="3BB96BA1" w14:textId="77777777" w:rsidR="006D4D81" w:rsidRDefault="001C028D">
      <w:pPr>
        <w:pStyle w:val="ListNumber"/>
      </w:pPr>
      <w:r>
        <w:t>Give the respondent a fair opportunity to understand and respond to material allegations at the appropriate stage; preserve evidence and hear relevant witnesses.</w:t>
      </w:r>
    </w:p>
    <w:p w14:paraId="5362C505" w14:textId="77777777" w:rsidR="006D4D81" w:rsidRDefault="001C028D">
      <w:pPr>
        <w:pStyle w:val="ListNumber"/>
      </w:pPr>
      <w:r>
        <w:t>Decide findings based on the evidence and internal standard appropriate to the process; document reasons, action and appeal or review route.</w:t>
      </w:r>
    </w:p>
    <w:p w14:paraId="0F2D403D" w14:textId="77777777" w:rsidR="006D4D81" w:rsidRDefault="001C028D">
      <w:pPr>
        <w:pStyle w:val="ListNumber"/>
      </w:pPr>
      <w:r>
        <w:t>Inform the parties of the outcome to the extent lawful, protect privacy and monitor retaliation and workplace recovery.</w:t>
      </w:r>
    </w:p>
    <w:p w14:paraId="56061B75" w14:textId="77777777" w:rsidR="006D4D81" w:rsidRDefault="006D4D81">
      <w:pPr>
        <w:spacing w:after="40"/>
      </w:pPr>
    </w:p>
    <w:tbl>
      <w:tblPr>
        <w:tblW w:w="0" w:type="auto"/>
        <w:tblBorders>
          <w:top w:val="single" w:sz="8" w:space="0" w:color="1FA4E8"/>
          <w:left w:val="single" w:sz="8" w:space="0" w:color="1FA4E8"/>
          <w:bottom w:val="single" w:sz="8" w:space="0" w:color="1FA4E8"/>
          <w:right w:val="single" w:sz="8" w:space="0" w:color="1FA4E8"/>
          <w:insideH w:val="single" w:sz="8" w:space="0" w:color="1FA4E8"/>
          <w:insideV w:val="single" w:sz="8" w:space="0" w:color="1FA4E8"/>
        </w:tblBorders>
        <w:tblLook w:val="04A0" w:firstRow="1" w:lastRow="0" w:firstColumn="1" w:lastColumn="0" w:noHBand="0" w:noVBand="1"/>
      </w:tblPr>
      <w:tblGrid>
        <w:gridCol w:w="9638"/>
      </w:tblGrid>
      <w:tr w:rsidR="006D4D81" w14:paraId="29B48B48" w14:textId="77777777">
        <w:trPr>
          <w:cantSplit/>
        </w:trPr>
        <w:tc>
          <w:tcPr>
            <w:tcW w:w="9638" w:type="dxa"/>
            <w:shd w:val="clear" w:color="auto" w:fill="EAF4FB"/>
            <w:tcMar>
              <w:top w:w="150" w:type="dxa"/>
              <w:left w:w="200" w:type="dxa"/>
              <w:bottom w:w="150" w:type="dxa"/>
              <w:right w:w="200" w:type="dxa"/>
            </w:tcMar>
          </w:tcPr>
          <w:p w14:paraId="4358334B" w14:textId="77777777" w:rsidR="006D4D81" w:rsidRDefault="001C028D">
            <w:r>
              <w:rPr>
                <w:b/>
                <w:color w:val="1FA4E8"/>
                <w:sz w:val="16"/>
              </w:rPr>
              <w:t>NO FORCED CONFRONTATION</w:t>
            </w:r>
            <w:r>
              <w:rPr>
                <w:b/>
                <w:color w:val="1FA4E8"/>
                <w:sz w:val="16"/>
              </w:rPr>
              <w:br/>
            </w:r>
            <w:r>
              <w:rPr>
                <w:sz w:val="20"/>
              </w:rPr>
              <w:t>Blue Palm will not require a complainant to confront the respondent or take part in mediation. Informal resolution or mediation is considered only where the affected person freely agrees and the matter is suitable.</w:t>
            </w:r>
          </w:p>
        </w:tc>
      </w:tr>
    </w:tbl>
    <w:p w14:paraId="0E500421" w14:textId="77777777" w:rsidR="006D4D81" w:rsidRDefault="006D4D81">
      <w:pPr>
        <w:spacing w:after="0"/>
      </w:pPr>
    </w:p>
    <w:p w14:paraId="2EBB1798" w14:textId="77777777" w:rsidR="006D4D81" w:rsidRDefault="001C028D">
      <w:pPr>
        <w:pStyle w:val="Heading1"/>
      </w:pPr>
      <w:r>
        <w:t>6. Corrective action</w:t>
      </w:r>
    </w:p>
    <w:p w14:paraId="5A84DF22" w14:textId="77777777" w:rsidR="006D4D81" w:rsidRDefault="001C028D">
      <w:r>
        <w:t>Action may include coaching, apology, training, management instruction, workplace adjustment, warning, removal from supervisory duties, discipline, dismissal, supplier controls or contract termination, subject to law and proportionality. Blue Palm will also correct systemic causes such as poor supervision, biased criteria, unsafe accommodation or retaliation risk.</w:t>
      </w:r>
    </w:p>
    <w:p w14:paraId="36710F0B" w14:textId="77777777" w:rsidR="006D4D81" w:rsidRDefault="001C028D">
      <w:pPr>
        <w:pStyle w:val="Heading1"/>
      </w:pPr>
      <w:r>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6D4D81" w14:paraId="7B2B6382" w14:textId="77777777">
        <w:trPr>
          <w:tblHeader/>
          <w:jc w:val="center"/>
        </w:trPr>
        <w:tc>
          <w:tcPr>
            <w:tcW w:w="2880" w:type="dxa"/>
            <w:shd w:val="clear" w:color="auto" w:fill="17487E"/>
            <w:tcMar>
              <w:top w:w="100" w:type="dxa"/>
              <w:left w:w="120" w:type="dxa"/>
              <w:bottom w:w="100" w:type="dxa"/>
              <w:right w:w="120" w:type="dxa"/>
            </w:tcMar>
          </w:tcPr>
          <w:p w14:paraId="2A5ADDDB" w14:textId="77777777" w:rsidR="006D4D81" w:rsidRDefault="001C028D">
            <w:r>
              <w:rPr>
                <w:b/>
                <w:color w:val="FFFFFF"/>
                <w:sz w:val="17"/>
              </w:rPr>
              <w:t>Role</w:t>
            </w:r>
          </w:p>
        </w:tc>
        <w:tc>
          <w:tcPr>
            <w:tcW w:w="6696" w:type="dxa"/>
            <w:shd w:val="clear" w:color="auto" w:fill="17487E"/>
            <w:tcMar>
              <w:top w:w="100" w:type="dxa"/>
              <w:left w:w="120" w:type="dxa"/>
              <w:bottom w:w="100" w:type="dxa"/>
              <w:right w:w="120" w:type="dxa"/>
            </w:tcMar>
          </w:tcPr>
          <w:p w14:paraId="7AFDF19F" w14:textId="77777777" w:rsidR="006D4D81" w:rsidRDefault="001C028D">
            <w:r>
              <w:rPr>
                <w:b/>
                <w:color w:val="FFFFFF"/>
                <w:sz w:val="17"/>
              </w:rPr>
              <w:t>Core responsibility</w:t>
            </w:r>
          </w:p>
        </w:tc>
      </w:tr>
      <w:tr w:rsidR="006D4D81" w14:paraId="7FC80914" w14:textId="77777777">
        <w:trPr>
          <w:cantSplit/>
          <w:jc w:val="center"/>
        </w:trPr>
        <w:tc>
          <w:tcPr>
            <w:tcW w:w="2880" w:type="dxa"/>
            <w:tcMar>
              <w:top w:w="100" w:type="dxa"/>
              <w:left w:w="120" w:type="dxa"/>
              <w:bottom w:w="100" w:type="dxa"/>
              <w:right w:w="120" w:type="dxa"/>
            </w:tcMar>
          </w:tcPr>
          <w:p w14:paraId="4A957114" w14:textId="15049C14" w:rsidR="006D4D81" w:rsidRDefault="006D3BB6">
            <w:pPr>
              <w:spacing w:after="40"/>
            </w:pPr>
            <w:r>
              <w:rPr>
                <w:sz w:val="18"/>
              </w:rPr>
              <w:t>CEO</w:t>
            </w:r>
          </w:p>
        </w:tc>
        <w:tc>
          <w:tcPr>
            <w:tcW w:w="6696" w:type="dxa"/>
            <w:tcMar>
              <w:top w:w="100" w:type="dxa"/>
              <w:left w:w="120" w:type="dxa"/>
              <w:bottom w:w="100" w:type="dxa"/>
              <w:right w:w="120" w:type="dxa"/>
            </w:tcMar>
          </w:tcPr>
          <w:p w14:paraId="621FFA09" w14:textId="77777777" w:rsidR="006D4D81" w:rsidRDefault="001C028D">
            <w:pPr>
              <w:spacing w:after="40"/>
            </w:pPr>
            <w:r>
              <w:rPr>
                <w:sz w:val="18"/>
              </w:rPr>
              <w:t>Approves the policy; sets the tone; authorises high-risk exceptions or relationships; ensures adequate resources and independent escalation.</w:t>
            </w:r>
          </w:p>
        </w:tc>
      </w:tr>
      <w:tr w:rsidR="006D4D81" w14:paraId="4DF6AFC4" w14:textId="77777777">
        <w:trPr>
          <w:cantSplit/>
          <w:jc w:val="center"/>
        </w:trPr>
        <w:tc>
          <w:tcPr>
            <w:tcW w:w="2880" w:type="dxa"/>
            <w:shd w:val="clear" w:color="auto" w:fill="F7FAFC"/>
            <w:tcMar>
              <w:top w:w="100" w:type="dxa"/>
              <w:left w:w="120" w:type="dxa"/>
              <w:bottom w:w="100" w:type="dxa"/>
              <w:right w:w="120" w:type="dxa"/>
            </w:tcMar>
          </w:tcPr>
          <w:p w14:paraId="38112DFE" w14:textId="77777777" w:rsidR="006D4D81" w:rsidRDefault="001C028D">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061E2824" w14:textId="77777777" w:rsidR="006D4D81" w:rsidRDefault="001C028D">
            <w:pPr>
              <w:spacing w:after="40"/>
            </w:pPr>
            <w:r>
              <w:rPr>
                <w:sz w:val="18"/>
              </w:rPr>
              <w:t>Maintains the legal register, advice channel, risk records and registers; coordinates training, screening, investigations and annual review.</w:t>
            </w:r>
          </w:p>
        </w:tc>
      </w:tr>
      <w:tr w:rsidR="006D4D81" w14:paraId="23FAE78A" w14:textId="77777777">
        <w:trPr>
          <w:cantSplit/>
          <w:jc w:val="center"/>
        </w:trPr>
        <w:tc>
          <w:tcPr>
            <w:tcW w:w="2880" w:type="dxa"/>
            <w:tcMar>
              <w:top w:w="100" w:type="dxa"/>
              <w:left w:w="120" w:type="dxa"/>
              <w:bottom w:w="100" w:type="dxa"/>
              <w:right w:w="120" w:type="dxa"/>
            </w:tcMar>
          </w:tcPr>
          <w:p w14:paraId="0BC1BF02" w14:textId="77777777" w:rsidR="006D4D81" w:rsidRDefault="001C028D">
            <w:pPr>
              <w:spacing w:after="40"/>
            </w:pPr>
            <w:r>
              <w:rPr>
                <w:sz w:val="18"/>
              </w:rPr>
              <w:t>Managers and supervisors</w:t>
            </w:r>
          </w:p>
        </w:tc>
        <w:tc>
          <w:tcPr>
            <w:tcW w:w="6696" w:type="dxa"/>
            <w:tcMar>
              <w:top w:w="100" w:type="dxa"/>
              <w:left w:w="120" w:type="dxa"/>
              <w:bottom w:w="100" w:type="dxa"/>
              <w:right w:w="120" w:type="dxa"/>
            </w:tcMar>
          </w:tcPr>
          <w:p w14:paraId="22C96A2C" w14:textId="77777777" w:rsidR="006D4D81" w:rsidRDefault="001C028D">
            <w:pPr>
              <w:spacing w:after="40"/>
            </w:pPr>
            <w:r>
              <w:rPr>
                <w:sz w:val="18"/>
              </w:rPr>
              <w:t>Apply the controls in daily decisions, create a respectful environment, prevent retaliation and escalate concerns without delay.</w:t>
            </w:r>
          </w:p>
        </w:tc>
      </w:tr>
      <w:tr w:rsidR="006D4D81" w14:paraId="5696758B" w14:textId="77777777">
        <w:trPr>
          <w:cantSplit/>
          <w:jc w:val="center"/>
        </w:trPr>
        <w:tc>
          <w:tcPr>
            <w:tcW w:w="2880" w:type="dxa"/>
            <w:shd w:val="clear" w:color="auto" w:fill="F7FAFC"/>
            <w:tcMar>
              <w:top w:w="100" w:type="dxa"/>
              <w:left w:w="120" w:type="dxa"/>
              <w:bottom w:w="100" w:type="dxa"/>
              <w:right w:w="120" w:type="dxa"/>
            </w:tcMar>
          </w:tcPr>
          <w:p w14:paraId="6B914C88" w14:textId="77777777" w:rsidR="006D4D81" w:rsidRDefault="001C028D">
            <w:pPr>
              <w:spacing w:after="40"/>
            </w:pPr>
            <w:r>
              <w:rPr>
                <w:sz w:val="18"/>
              </w:rPr>
              <w:lastRenderedPageBreak/>
              <w:t>All workers</w:t>
            </w:r>
          </w:p>
        </w:tc>
        <w:tc>
          <w:tcPr>
            <w:tcW w:w="6696" w:type="dxa"/>
            <w:shd w:val="clear" w:color="auto" w:fill="F7FAFC"/>
            <w:tcMar>
              <w:top w:w="100" w:type="dxa"/>
              <w:left w:w="120" w:type="dxa"/>
              <w:bottom w:w="100" w:type="dxa"/>
              <w:right w:w="120" w:type="dxa"/>
            </w:tcMar>
          </w:tcPr>
          <w:p w14:paraId="4031EE79" w14:textId="77777777" w:rsidR="006D4D81" w:rsidRDefault="001C028D">
            <w:pPr>
              <w:spacing w:after="40"/>
            </w:pPr>
            <w:r>
              <w:rPr>
                <w:sz w:val="18"/>
              </w:rPr>
              <w:t>Read and follow the policy, complete required training, keep accurate records, ask when unsure and report suspected breaches.</w:t>
            </w:r>
          </w:p>
        </w:tc>
      </w:tr>
      <w:tr w:rsidR="006D4D81" w14:paraId="10107EBA" w14:textId="77777777">
        <w:trPr>
          <w:cantSplit/>
          <w:jc w:val="center"/>
        </w:trPr>
        <w:tc>
          <w:tcPr>
            <w:tcW w:w="2880" w:type="dxa"/>
            <w:tcMar>
              <w:top w:w="100" w:type="dxa"/>
              <w:left w:w="120" w:type="dxa"/>
              <w:bottom w:w="100" w:type="dxa"/>
              <w:right w:w="120" w:type="dxa"/>
            </w:tcMar>
          </w:tcPr>
          <w:p w14:paraId="65282A50" w14:textId="77777777" w:rsidR="006D4D81" w:rsidRDefault="001C028D">
            <w:pPr>
              <w:spacing w:after="40"/>
            </w:pPr>
            <w:r>
              <w:rPr>
                <w:sz w:val="18"/>
              </w:rPr>
              <w:t>Recruiting and decision managers</w:t>
            </w:r>
          </w:p>
        </w:tc>
        <w:tc>
          <w:tcPr>
            <w:tcW w:w="6696" w:type="dxa"/>
            <w:tcMar>
              <w:top w:w="100" w:type="dxa"/>
              <w:left w:w="120" w:type="dxa"/>
              <w:bottom w:w="100" w:type="dxa"/>
              <w:right w:w="120" w:type="dxa"/>
            </w:tcMar>
          </w:tcPr>
          <w:p w14:paraId="50EC3094" w14:textId="77777777" w:rsidR="006D4D81" w:rsidRDefault="001C028D">
            <w:pPr>
              <w:spacing w:after="40"/>
            </w:pPr>
            <w:r>
              <w:rPr>
                <w:sz w:val="18"/>
              </w:rPr>
              <w:t>Use documented, role-related criteria; record objective reasons for material employment decisions; seek review where bias or conflict may arise.</w:t>
            </w:r>
          </w:p>
        </w:tc>
      </w:tr>
      <w:tr w:rsidR="006D4D81" w14:paraId="16036CE5" w14:textId="77777777">
        <w:trPr>
          <w:cantSplit/>
          <w:jc w:val="center"/>
        </w:trPr>
        <w:tc>
          <w:tcPr>
            <w:tcW w:w="2880" w:type="dxa"/>
            <w:shd w:val="clear" w:color="auto" w:fill="F7FAFC"/>
            <w:tcMar>
              <w:top w:w="100" w:type="dxa"/>
              <w:left w:w="120" w:type="dxa"/>
              <w:bottom w:w="100" w:type="dxa"/>
              <w:right w:w="120" w:type="dxa"/>
            </w:tcMar>
          </w:tcPr>
          <w:p w14:paraId="63DA5AB1" w14:textId="77777777" w:rsidR="006D4D81" w:rsidRDefault="001C028D">
            <w:pPr>
              <w:spacing w:after="40"/>
            </w:pPr>
            <w:r>
              <w:rPr>
                <w:sz w:val="18"/>
              </w:rPr>
              <w:t>Investigator / decision-maker</w:t>
            </w:r>
          </w:p>
        </w:tc>
        <w:tc>
          <w:tcPr>
            <w:tcW w:w="6696" w:type="dxa"/>
            <w:shd w:val="clear" w:color="auto" w:fill="F7FAFC"/>
            <w:tcMar>
              <w:top w:w="100" w:type="dxa"/>
              <w:left w:w="120" w:type="dxa"/>
              <w:bottom w:w="100" w:type="dxa"/>
              <w:right w:w="120" w:type="dxa"/>
            </w:tcMar>
          </w:tcPr>
          <w:p w14:paraId="4AD63030" w14:textId="77777777" w:rsidR="006D4D81" w:rsidRDefault="001C028D">
            <w:pPr>
              <w:spacing w:after="40"/>
            </w:pPr>
            <w:r>
              <w:rPr>
                <w:sz w:val="18"/>
              </w:rPr>
              <w:t>Acts impartially, respects confidentiality and fair process, documents reasons and recommends individual and systemic remedies.</w:t>
            </w:r>
          </w:p>
        </w:tc>
      </w:tr>
      <w:tr w:rsidR="006D4D81" w14:paraId="72D6F50E" w14:textId="77777777">
        <w:trPr>
          <w:cantSplit/>
          <w:jc w:val="center"/>
        </w:trPr>
        <w:tc>
          <w:tcPr>
            <w:tcW w:w="2880" w:type="dxa"/>
            <w:tcMar>
              <w:top w:w="100" w:type="dxa"/>
              <w:left w:w="120" w:type="dxa"/>
              <w:bottom w:w="100" w:type="dxa"/>
              <w:right w:w="120" w:type="dxa"/>
            </w:tcMar>
          </w:tcPr>
          <w:p w14:paraId="1C753D4C" w14:textId="77777777" w:rsidR="006D4D81" w:rsidRDefault="001C028D">
            <w:pPr>
              <w:spacing w:after="40"/>
            </w:pPr>
            <w:r>
              <w:rPr>
                <w:sz w:val="18"/>
              </w:rPr>
              <w:t>Customers, suppliers and visitors</w:t>
            </w:r>
          </w:p>
        </w:tc>
        <w:tc>
          <w:tcPr>
            <w:tcW w:w="6696" w:type="dxa"/>
            <w:tcMar>
              <w:top w:w="100" w:type="dxa"/>
              <w:left w:w="120" w:type="dxa"/>
              <w:bottom w:w="100" w:type="dxa"/>
              <w:right w:w="120" w:type="dxa"/>
            </w:tcMar>
          </w:tcPr>
          <w:p w14:paraId="58BD579D" w14:textId="77777777" w:rsidR="006D4D81" w:rsidRDefault="001C028D">
            <w:pPr>
              <w:spacing w:after="40"/>
            </w:pPr>
            <w:r>
              <w:rPr>
                <w:sz w:val="18"/>
              </w:rPr>
              <w:t>Respect this policy while interacting with Blue Palm people; cooperate with protective and contractual action.</w:t>
            </w:r>
          </w:p>
        </w:tc>
      </w:tr>
    </w:tbl>
    <w:p w14:paraId="3B83FDD1" w14:textId="77777777" w:rsidR="006D4D81" w:rsidRDefault="001C028D">
      <w:pPr>
        <w:pStyle w:val="Heading1"/>
      </w:pPr>
      <w:r>
        <w:t xml:space="preserve">Training, </w:t>
      </w:r>
      <w:proofErr w:type="gramStart"/>
      <w:r>
        <w:t>records</w:t>
      </w:r>
      <w:proofErr w:type="gramEnd"/>
      <w:r>
        <w:t xml:space="preserve"> and monitoring</w:t>
      </w:r>
    </w:p>
    <w:p w14:paraId="51AD0BC6" w14:textId="77777777" w:rsidR="006D4D81" w:rsidRDefault="001C028D">
      <w:pPr>
        <w:pStyle w:val="Heading2"/>
      </w:pPr>
      <w:r>
        <w:t>Training</w:t>
      </w:r>
    </w:p>
    <w:p w14:paraId="76A98464" w14:textId="77777777" w:rsidR="006D4D81" w:rsidRDefault="001C028D">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6048EBE2" w14:textId="77777777" w:rsidR="006D4D81" w:rsidRDefault="001C028D">
      <w:pPr>
        <w:pStyle w:val="Heading2"/>
      </w:pPr>
      <w:r>
        <w:t>Minimum records</w:t>
      </w:r>
    </w:p>
    <w:p w14:paraId="688E2B2B" w14:textId="77777777" w:rsidR="006D4D81" w:rsidRDefault="001C028D">
      <w:pPr>
        <w:pStyle w:val="ListBullet"/>
      </w:pPr>
      <w:r>
        <w:t>Role criteria, decision notes and objective reasons for pay or status differences.</w:t>
      </w:r>
    </w:p>
    <w:p w14:paraId="311B0A4E" w14:textId="77777777" w:rsidR="006D4D81" w:rsidRDefault="001C028D">
      <w:pPr>
        <w:pStyle w:val="ListBullet"/>
      </w:pPr>
      <w:r>
        <w:t>Adjustment requests and outcomes, with sensitive information restricted.</w:t>
      </w:r>
    </w:p>
    <w:p w14:paraId="75672B93" w14:textId="77777777" w:rsidR="006D4D81" w:rsidRDefault="001C028D">
      <w:pPr>
        <w:pStyle w:val="ListBullet"/>
      </w:pPr>
      <w:r>
        <w:t>Complaint, investigation, outcome, corrective-action and retaliation follow-up records.</w:t>
      </w:r>
    </w:p>
    <w:p w14:paraId="11FF8D0F" w14:textId="77777777" w:rsidR="006D4D81" w:rsidRDefault="001C028D">
      <w:pPr>
        <w:pStyle w:val="Heading2"/>
      </w:pPr>
      <w:r>
        <w:t>Proportionate indicators</w:t>
      </w:r>
    </w:p>
    <w:p w14:paraId="13D3263C" w14:textId="77777777" w:rsidR="006D4D81" w:rsidRDefault="001C028D">
      <w:pPr>
        <w:pStyle w:val="ListBullet"/>
      </w:pPr>
      <w:r>
        <w:t>Workforce patterns reviewed proportionately to size.</w:t>
      </w:r>
    </w:p>
    <w:p w14:paraId="266E7E9A" w14:textId="77777777" w:rsidR="006D4D81" w:rsidRDefault="001C028D">
      <w:pPr>
        <w:pStyle w:val="ListBullet"/>
      </w:pPr>
      <w:r>
        <w:t>Complaints by theme, work area and age—not reported in a way that identifies individuals.</w:t>
      </w:r>
    </w:p>
    <w:p w14:paraId="77FB9343" w14:textId="77777777" w:rsidR="006D4D81" w:rsidRDefault="001C028D">
      <w:pPr>
        <w:pStyle w:val="ListBullet"/>
      </w:pPr>
      <w:r>
        <w:t>Time to triage and close cases; overdue remedies.</w:t>
      </w:r>
    </w:p>
    <w:p w14:paraId="094D6FD3" w14:textId="77777777" w:rsidR="006D4D81" w:rsidRDefault="001C028D">
      <w:pPr>
        <w:pStyle w:val="ListBullet"/>
      </w:pPr>
      <w:r>
        <w:t>Repeat concerns or manager areas requiring intervention.</w:t>
      </w:r>
    </w:p>
    <w:p w14:paraId="7AC79624" w14:textId="77777777" w:rsidR="006D4D81" w:rsidRDefault="001C028D">
      <w:pPr>
        <w:pStyle w:val="SmallNote"/>
      </w:pPr>
      <w:r>
        <w:t>Records must be accurate, access-controlled and retained for the period required by applicable law, contract and Blue Palm’s retention schedule. Personal data and sensitive reports must be restricted to those with a legitimate need to know.</w:t>
      </w:r>
    </w:p>
    <w:p w14:paraId="55D7CE86" w14:textId="77777777" w:rsidR="006D4D81" w:rsidRDefault="001C028D">
      <w:pPr>
        <w:pStyle w:val="Heading1"/>
      </w:pPr>
      <w:r>
        <w:t>Breaches, protection and review</w:t>
      </w:r>
    </w:p>
    <w:p w14:paraId="531AD6CD" w14:textId="77777777" w:rsidR="006D4D81" w:rsidRDefault="001C028D">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47AF546F" w14:textId="77777777" w:rsidR="006D4D81" w:rsidRDefault="001C028D">
      <w:r>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2C46F79F" w14:textId="10165092" w:rsidR="006D4D81" w:rsidRDefault="001C028D">
      <w:r>
        <w:t xml:space="preserve">The Nominated Compliance Officer will review this policy at least annually, after a significant incident, and when relevant law, sanctions, licensing conditions or operations change. Material changes require </w:t>
      </w:r>
      <w:r w:rsidR="006D3BB6">
        <w:t>CEO</w:t>
      </w:r>
      <w:r>
        <w:t xml:space="preserve"> approval.</w:t>
      </w:r>
    </w:p>
    <w:p w14:paraId="39966BAC" w14:textId="77777777" w:rsidR="006D4D81" w:rsidRDefault="001C028D">
      <w:pPr>
        <w:pStyle w:val="Heading1"/>
      </w:pPr>
      <w:r>
        <w:t>Legal and standards reference</w:t>
      </w:r>
    </w:p>
    <w:p w14:paraId="5AAD8850" w14:textId="77777777" w:rsidR="006D4D81" w:rsidRDefault="001C028D">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6D4D81" w14:paraId="0838288F" w14:textId="77777777">
        <w:trPr>
          <w:tblHeader/>
          <w:jc w:val="center"/>
        </w:trPr>
        <w:tc>
          <w:tcPr>
            <w:tcW w:w="3671" w:type="dxa"/>
            <w:shd w:val="clear" w:color="auto" w:fill="17487E"/>
            <w:tcMar>
              <w:top w:w="100" w:type="dxa"/>
              <w:left w:w="120" w:type="dxa"/>
              <w:bottom w:w="100" w:type="dxa"/>
              <w:right w:w="120" w:type="dxa"/>
            </w:tcMar>
          </w:tcPr>
          <w:p w14:paraId="4E53554E" w14:textId="77777777" w:rsidR="006D4D81" w:rsidRDefault="001C028D">
            <w:r>
              <w:rPr>
                <w:b/>
                <w:color w:val="FFFFFF"/>
                <w:sz w:val="17"/>
              </w:rPr>
              <w:lastRenderedPageBreak/>
              <w:t>Instrument</w:t>
            </w:r>
          </w:p>
        </w:tc>
        <w:tc>
          <w:tcPr>
            <w:tcW w:w="5903" w:type="dxa"/>
            <w:shd w:val="clear" w:color="auto" w:fill="17487E"/>
            <w:tcMar>
              <w:top w:w="100" w:type="dxa"/>
              <w:left w:w="120" w:type="dxa"/>
              <w:bottom w:w="100" w:type="dxa"/>
              <w:right w:w="120" w:type="dxa"/>
            </w:tcMar>
          </w:tcPr>
          <w:p w14:paraId="6DFC6EEB" w14:textId="77777777" w:rsidR="006D4D81" w:rsidRDefault="001C028D">
            <w:r>
              <w:rPr>
                <w:b/>
                <w:color w:val="FFFFFF"/>
                <w:sz w:val="17"/>
              </w:rPr>
              <w:t>Relevance to this policy</w:t>
            </w:r>
          </w:p>
        </w:tc>
      </w:tr>
      <w:tr w:rsidR="006D4D81" w14:paraId="7A10FA08" w14:textId="77777777">
        <w:trPr>
          <w:cantSplit/>
          <w:jc w:val="center"/>
        </w:trPr>
        <w:tc>
          <w:tcPr>
            <w:tcW w:w="3671" w:type="dxa"/>
            <w:tcMar>
              <w:top w:w="100" w:type="dxa"/>
              <w:left w:w="120" w:type="dxa"/>
              <w:bottom w:w="100" w:type="dxa"/>
              <w:right w:w="120" w:type="dxa"/>
            </w:tcMar>
          </w:tcPr>
          <w:p w14:paraId="6D789ABD" w14:textId="77777777" w:rsidR="006D4D81" w:rsidRDefault="001C028D">
            <w:pPr>
              <w:spacing w:after="40"/>
            </w:pPr>
            <w:r>
              <w:rPr>
                <w:sz w:val="18"/>
              </w:rPr>
              <w:t>Federal Iraq Labour Law No. 37 of 2015, including Articles 6, 8–11 and 53</w:t>
            </w:r>
          </w:p>
        </w:tc>
        <w:tc>
          <w:tcPr>
            <w:tcW w:w="5903" w:type="dxa"/>
            <w:tcMar>
              <w:top w:w="100" w:type="dxa"/>
              <w:left w:w="120" w:type="dxa"/>
              <w:bottom w:w="100" w:type="dxa"/>
              <w:right w:w="120" w:type="dxa"/>
            </w:tcMar>
          </w:tcPr>
          <w:p w14:paraId="389D184C" w14:textId="77777777" w:rsidR="006D4D81" w:rsidRDefault="001C028D">
            <w:pPr>
              <w:spacing w:after="40"/>
              <w:rPr>
                <w:sz w:val="18"/>
              </w:rPr>
            </w:pPr>
            <w:r>
              <w:rPr>
                <w:sz w:val="18"/>
              </w:rPr>
              <w:t>Prohibits discrimination, forced labour and sexual harassment/hostile environments and requires equal wage treatment in Federal Iraq.</w:t>
            </w:r>
          </w:p>
          <w:p w14:paraId="46D5259E" w14:textId="7DB9F78B" w:rsidR="00D77FCB" w:rsidRDefault="00D77FCB">
            <w:pPr>
              <w:spacing w:after="40"/>
            </w:pPr>
            <w:hyperlink r:id="rId10">
              <w:r>
                <w:rPr>
                  <w:color w:val="1FA4E8"/>
                  <w:u w:val="single"/>
                </w:rPr>
                <w:t>official/source text</w:t>
              </w:r>
            </w:hyperlink>
          </w:p>
        </w:tc>
      </w:tr>
      <w:tr w:rsidR="006D4D81" w14:paraId="3FE60179" w14:textId="77777777">
        <w:trPr>
          <w:cantSplit/>
          <w:jc w:val="center"/>
        </w:trPr>
        <w:tc>
          <w:tcPr>
            <w:tcW w:w="3671" w:type="dxa"/>
            <w:shd w:val="clear" w:color="auto" w:fill="F7FAFC"/>
            <w:tcMar>
              <w:top w:w="100" w:type="dxa"/>
              <w:left w:w="120" w:type="dxa"/>
              <w:bottom w:w="100" w:type="dxa"/>
              <w:right w:w="120" w:type="dxa"/>
            </w:tcMar>
          </w:tcPr>
          <w:p w14:paraId="78550ABA" w14:textId="77777777" w:rsidR="006D4D81" w:rsidRDefault="001C028D">
            <w:pPr>
              <w:spacing w:after="40"/>
            </w:pPr>
            <w:r>
              <w:rPr>
                <w:sz w:val="18"/>
              </w:rPr>
              <w:t>Iraq Labour Law No. 71 of 1987, as applied in the Kurdistan Region at the policy date</w:t>
            </w:r>
          </w:p>
        </w:tc>
        <w:tc>
          <w:tcPr>
            <w:tcW w:w="5903" w:type="dxa"/>
            <w:shd w:val="clear" w:color="auto" w:fill="F7FAFC"/>
            <w:tcMar>
              <w:top w:w="100" w:type="dxa"/>
              <w:left w:w="120" w:type="dxa"/>
              <w:bottom w:w="100" w:type="dxa"/>
              <w:right w:w="120" w:type="dxa"/>
            </w:tcMar>
          </w:tcPr>
          <w:p w14:paraId="7F88CBBC" w14:textId="77777777" w:rsidR="006D4D81" w:rsidRDefault="001C028D">
            <w:pPr>
              <w:spacing w:after="40"/>
              <w:rPr>
                <w:sz w:val="18"/>
              </w:rPr>
            </w:pPr>
            <w:r>
              <w:rPr>
                <w:sz w:val="18"/>
              </w:rPr>
              <w:t>Provides the principal KRI employment framework; current protections and procedures must be confirmed locally.</w:t>
            </w:r>
          </w:p>
          <w:p w14:paraId="71896B4B" w14:textId="3DFCEA27" w:rsidR="00D77FCB" w:rsidRDefault="00D77FCB">
            <w:pPr>
              <w:spacing w:after="40"/>
            </w:pPr>
            <w:hyperlink r:id="rId11">
              <w:r>
                <w:rPr>
                  <w:color w:val="1FA4E8"/>
                  <w:u w:val="single"/>
                </w:rPr>
                <w:t>official/source text</w:t>
              </w:r>
            </w:hyperlink>
          </w:p>
        </w:tc>
      </w:tr>
      <w:tr w:rsidR="006D4D81" w14:paraId="7DA442E3" w14:textId="77777777">
        <w:trPr>
          <w:cantSplit/>
          <w:jc w:val="center"/>
        </w:trPr>
        <w:tc>
          <w:tcPr>
            <w:tcW w:w="3671" w:type="dxa"/>
            <w:tcMar>
              <w:top w:w="100" w:type="dxa"/>
              <w:left w:w="120" w:type="dxa"/>
              <w:bottom w:w="100" w:type="dxa"/>
              <w:right w:w="120" w:type="dxa"/>
            </w:tcMar>
          </w:tcPr>
          <w:p w14:paraId="75D36814" w14:textId="77777777" w:rsidR="006D4D81" w:rsidRDefault="001C028D">
            <w:pPr>
              <w:spacing w:after="40"/>
            </w:pPr>
            <w:r>
              <w:rPr>
                <w:sz w:val="18"/>
              </w:rPr>
              <w:t>UAE Federal Decree-Law No. 33 of 2021 Regulation of Labour Relations, including Articles 4 and 14, as amended</w:t>
            </w:r>
          </w:p>
        </w:tc>
        <w:tc>
          <w:tcPr>
            <w:tcW w:w="5903" w:type="dxa"/>
            <w:tcMar>
              <w:top w:w="100" w:type="dxa"/>
              <w:left w:w="120" w:type="dxa"/>
              <w:bottom w:w="100" w:type="dxa"/>
              <w:right w:w="120" w:type="dxa"/>
            </w:tcMar>
          </w:tcPr>
          <w:p w14:paraId="291DEAC8" w14:textId="77777777" w:rsidR="006D4D81" w:rsidRDefault="001C028D">
            <w:pPr>
              <w:spacing w:after="40"/>
              <w:rPr>
                <w:sz w:val="18"/>
              </w:rPr>
            </w:pPr>
            <w:r>
              <w:rPr>
                <w:sz w:val="18"/>
              </w:rPr>
              <w:t>Prohibits discrimination, sexual harassment, bullying and specified violence and requires equal pay protections in the UAE.</w:t>
            </w:r>
          </w:p>
          <w:p w14:paraId="4A4CC166" w14:textId="7BC4D039" w:rsidR="00D77FCB" w:rsidRDefault="00D77FCB">
            <w:pPr>
              <w:spacing w:after="40"/>
            </w:pPr>
            <w:hyperlink r:id="rId12">
              <w:r>
                <w:rPr>
                  <w:color w:val="1FA4E8"/>
                  <w:u w:val="single"/>
                </w:rPr>
                <w:t>official/source text</w:t>
              </w:r>
            </w:hyperlink>
          </w:p>
        </w:tc>
      </w:tr>
    </w:tbl>
    <w:p w14:paraId="36905CAC" w14:textId="77777777" w:rsidR="006D4D81" w:rsidRDefault="001C028D">
      <w:pPr>
        <w:pStyle w:val="Heading2"/>
      </w:pPr>
      <w:r>
        <w:t>Voluntary European and international benchmarks</w:t>
      </w:r>
    </w:p>
    <w:p w14:paraId="5B400A86" w14:textId="77777777" w:rsidR="006D4D81" w:rsidRDefault="001C028D">
      <w:pPr>
        <w:pStyle w:val="SmallNote"/>
      </w:pPr>
      <w:r>
        <w:t xml:space="preserve">ILO Declaration on Fundamental Principles and Rights at Work — </w:t>
      </w:r>
      <w:hyperlink r:id="rId13">
        <w:r>
          <w:rPr>
            <w:color w:val="1FA4E8"/>
            <w:u w:val="single"/>
          </w:rPr>
          <w:t>source</w:t>
        </w:r>
      </w:hyperlink>
    </w:p>
    <w:sectPr w:rsidR="006D4D81" w:rsidSect="00034616">
      <w:headerReference w:type="default" r:id="rId14"/>
      <w:footerReference w:type="default" r:id="rId15"/>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886C" w14:textId="77777777" w:rsidR="00E35A1F" w:rsidRDefault="00E35A1F">
      <w:pPr>
        <w:spacing w:after="0" w:line="240" w:lineRule="auto"/>
      </w:pPr>
      <w:r>
        <w:separator/>
      </w:r>
    </w:p>
  </w:endnote>
  <w:endnote w:type="continuationSeparator" w:id="0">
    <w:p w14:paraId="7E135C5B" w14:textId="77777777" w:rsidR="00E35A1F" w:rsidRDefault="00E35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7AAB" w14:textId="7D6CDA8D" w:rsidR="006D4D81" w:rsidRDefault="001C028D">
    <w:pPr>
      <w:pStyle w:val="Footer"/>
      <w:pBdr>
        <w:top w:val="single" w:sz="6" w:space="4" w:color="D3E7F4"/>
      </w:pBdr>
      <w:spacing w:before="80"/>
      <w:jc w:val="center"/>
    </w:pPr>
    <w:r>
      <w:rPr>
        <w:color w:val="5F6B78"/>
        <w:sz w:val="15"/>
      </w:rPr>
      <w:t xml:space="preserve">BLUE </w:t>
    </w:r>
    <w:proofErr w:type="gramStart"/>
    <w:r>
      <w:rPr>
        <w:color w:val="5F6B78"/>
        <w:sz w:val="15"/>
      </w:rPr>
      <w:t>PALM  |</w:t>
    </w:r>
    <w:proofErr w:type="gramEnd"/>
    <w:r>
      <w:rPr>
        <w:color w:val="5F6B78"/>
        <w:sz w:val="15"/>
      </w:rPr>
      <w:t xml:space="preserve">  BP-POL-</w:t>
    </w:r>
    <w:proofErr w:type="gramStart"/>
    <w:r>
      <w:rPr>
        <w:color w:val="5F6B78"/>
        <w:sz w:val="15"/>
      </w:rPr>
      <w:t>005  |</w:t>
    </w:r>
    <w:proofErr w:type="gramEnd"/>
    <w:r>
      <w:rPr>
        <w:color w:val="5F6B78"/>
        <w:sz w:val="15"/>
      </w:rPr>
      <w:t xml:space="preserve">  </w:t>
    </w:r>
    <w:r>
      <w:fldChar w:fldCharType="begin"/>
    </w:r>
    <w:r>
      <w:instrText xml:space="preserve"> PAGE </w:instrText>
    </w:r>
    <w:r>
      <w:fldChar w:fldCharType="separate"/>
    </w:r>
    <w:r w:rsidR="006D3B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8AE2" w14:textId="77777777" w:rsidR="00E35A1F" w:rsidRDefault="00E35A1F">
      <w:pPr>
        <w:spacing w:after="0" w:line="240" w:lineRule="auto"/>
      </w:pPr>
      <w:r>
        <w:separator/>
      </w:r>
    </w:p>
  </w:footnote>
  <w:footnote w:type="continuationSeparator" w:id="0">
    <w:p w14:paraId="123329AC" w14:textId="77777777" w:rsidR="00E35A1F" w:rsidRDefault="00E35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EC44" w14:textId="77777777" w:rsidR="006D4D81" w:rsidRDefault="006D4D81">
    <w:pPr>
      <w:pStyle w:val="Header"/>
    </w:pPr>
  </w:p>
  <w:tbl>
    <w:tblPr>
      <w:tblW w:w="0" w:type="auto"/>
      <w:tblLayout w:type="fixed"/>
      <w:tblLook w:val="04A0" w:firstRow="1" w:lastRow="0" w:firstColumn="1" w:lastColumn="0" w:noHBand="0" w:noVBand="1"/>
    </w:tblPr>
    <w:tblGrid>
      <w:gridCol w:w="6912"/>
      <w:gridCol w:w="2664"/>
    </w:tblGrid>
    <w:tr w:rsidR="006D4D81" w14:paraId="7DA07898" w14:textId="77777777">
      <w:tc>
        <w:tcPr>
          <w:tcW w:w="6912" w:type="dxa"/>
        </w:tcPr>
        <w:p w14:paraId="7133E7E3" w14:textId="77777777" w:rsidR="006D4D81" w:rsidRDefault="001C028D">
          <w:pPr>
            <w:pBdr>
              <w:bottom w:val="single" w:sz="10" w:space="4" w:color="1FA4E8"/>
            </w:pBdr>
            <w:spacing w:after="0"/>
          </w:pPr>
          <w:r>
            <w:rPr>
              <w:b/>
              <w:color w:val="17487E"/>
              <w:sz w:val="16"/>
            </w:rPr>
            <w:t>BLUE PALM</w:t>
          </w:r>
        </w:p>
      </w:tc>
      <w:tc>
        <w:tcPr>
          <w:tcW w:w="2664" w:type="dxa"/>
        </w:tcPr>
        <w:p w14:paraId="6F53D1B1" w14:textId="77777777" w:rsidR="006D4D81" w:rsidRDefault="001C028D">
          <w:pPr>
            <w:pBdr>
              <w:bottom w:val="single" w:sz="10" w:space="4" w:color="1FA4E8"/>
            </w:pBdr>
            <w:spacing w:after="0"/>
            <w:jc w:val="right"/>
          </w:pPr>
          <w:r>
            <w:rPr>
              <w:b/>
              <w:color w:val="5F6B78"/>
              <w:sz w:val="16"/>
            </w:rPr>
            <w:t>BP-POL-005</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0700822">
    <w:abstractNumId w:val="8"/>
  </w:num>
  <w:num w:numId="2" w16cid:durableId="390813110">
    <w:abstractNumId w:val="6"/>
  </w:num>
  <w:num w:numId="3" w16cid:durableId="605239101">
    <w:abstractNumId w:val="5"/>
  </w:num>
  <w:num w:numId="4" w16cid:durableId="694695761">
    <w:abstractNumId w:val="4"/>
  </w:num>
  <w:num w:numId="5" w16cid:durableId="1277252239">
    <w:abstractNumId w:val="7"/>
  </w:num>
  <w:num w:numId="6" w16cid:durableId="1581719145">
    <w:abstractNumId w:val="3"/>
  </w:num>
  <w:num w:numId="7" w16cid:durableId="554631796">
    <w:abstractNumId w:val="2"/>
  </w:num>
  <w:num w:numId="8" w16cid:durableId="1565723848">
    <w:abstractNumId w:val="1"/>
  </w:num>
  <w:num w:numId="9" w16cid:durableId="3782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028D"/>
    <w:rsid w:val="0029639D"/>
    <w:rsid w:val="002A5360"/>
    <w:rsid w:val="00326F90"/>
    <w:rsid w:val="006D3BB6"/>
    <w:rsid w:val="006D4D81"/>
    <w:rsid w:val="006D735A"/>
    <w:rsid w:val="009403D4"/>
    <w:rsid w:val="00AA1D8D"/>
    <w:rsid w:val="00B47730"/>
    <w:rsid w:val="00CB0664"/>
    <w:rsid w:val="00D77FCB"/>
    <w:rsid w:val="00DB6F0F"/>
    <w:rsid w:val="00E35A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11298A5-1E9A-4503-B61A-2E57FBF0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351" w:hanging="18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rmlex.ilo.org/dyn/nrmlx_en/f?p=1000:62:0::NO:62:P62_LIST_ENTRIE_ID:2453911: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u.ae/api/public/content/eb65a60bbff949fa912eddd566613014?v=7174ed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lex.ilo.org/dyn/natlex2/natlex2/files/download/4988/IRQ498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atlex.ilo.org/dyn/natlex2/natlex2/files/download/96652/IRQ96652%20Eng.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BP-POL-005 Equality &amp; Anti-Harassment</dc:title>
  <dc:subject>Blue Palm compliance and responsible business policy</dc:subject>
  <dc:creator>BLUE PALM FOOD FZ LLC</dc:creator>
  <cp:keywords>Blue Palm; Iraq; Kurdistan Region; UAE; Dubai; policy</cp:keywords>
  <dc:description>generated by python-docx</dc:description>
  <cp:lastModifiedBy>R</cp:lastModifiedBy>
  <cp:revision>5</cp:revision>
  <dcterms:created xsi:type="dcterms:W3CDTF">2013-12-23T23:15:00Z</dcterms:created>
  <dcterms:modified xsi:type="dcterms:W3CDTF">2026-07-25T15:45:00Z</dcterms:modified>
  <cp:category/>
</cp:coreProperties>
</file>